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auto" w:val="clear"/>
        </w:rPr>
        <w:t xml:space="preserve">Як допомогти дошкільникам пізнати світ звуків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9B00D3"/>
          <w:spacing w:val="0"/>
          <w:position w:val="0"/>
          <w:sz w:val="32"/>
          <w:shd w:fill="auto" w:val="clear"/>
        </w:rPr>
        <w:t xml:space="preserve">за допомогою розвивальних занять Марії Монтессорі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2"/>
          <w:shd w:fill="auto" w:val="clear"/>
        </w:rPr>
        <w:t xml:space="preserve"> Консультац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2"/>
          <w:shd w:fill="auto" w:val="clear"/>
        </w:rPr>
        <w:t xml:space="preserve">ії для вихователів</w:t>
      </w:r>
    </w:p>
    <w:p>
      <w:pPr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28"/>
          <w:shd w:fill="auto" w:val="clear"/>
        </w:rPr>
        <w:t xml:space="preserve">Підготувала: Керівник музичний ЗДО №2</w:t>
      </w:r>
    </w:p>
    <w:p>
      <w:pPr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28"/>
          <w:shd w:fill="auto" w:val="clear"/>
        </w:rPr>
        <w:t xml:space="preserve">Т.Б.Шапаєва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музичного виховання Марії  Монтессорі якісно відрізняється від традиційного і фактично є самонавчанням дітей музики.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Особлива його цінність в тому, що його можна використовувати на музичних заняттях у будь-якому навчальному закладі, а не лише у Монтессорі-садках чи Монтессорі-школах.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Марії  Монтессорі вважала, що музичне виховання має бути ретельним та методичним і не повинне обмежуватися розвитком музичного слуху та ритму, пасивним слуханням, співом або навчанням гри на інструменті. Тож, на її думку, необхідно створювати умови, за  яких діти у дитячому садку мали б змогу створювати музику в процесі індивідуального та колективного музикування. Адже потреба у творчості міститься у самій природі дітей,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їхньому прагненні імпровізувати.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ЗАГАЛЬНІ ПРИНЦИПИ ПЕДОГОГІЧНОЇ СИСТЕМИ МАРІЇ МОНТЕССОРІ</w:t>
      </w: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ЯК РЕАЛІЗУВАТИ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Свобода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вибору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Надати дітям змогу самостійно  вибирати діяльність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Діти лише розуміють свої схильності та уподобання, вчаться регулювати власну психічну активність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Наявність комплекту дидактичних матеріалів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Надати Монтессорі- матеріали в повному обсязі, щоб запезпечити задоволен-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ня потреб дітей усіх вікових категорій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Відбувається всебічний розвиток дітей. Завдання закладені у матеріалах, діти засвоюють максимально ефективно.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помилок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Підготувати умови для роботи дітей з усім асортиментом Монтессорі- матеріалів, адже вони дають змогу дітям самостійно бачити помилки і виправляти їх без допомоги дорослого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Стимулюється пошукова активність дітей, формуються їхні самооцінки та самоконтроль.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Наявність певних правил роботи у Монтессорі-середовищі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Привчати дітей дотримува-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тись правил: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Працюй на килимках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Прибери за собою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Пересувайся по групі  тихо</w:t>
            </w:r>
          </w:p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Пам’ятай, що твоя свобода закінчується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там, де починається свобода іншого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Діти привчаються до організації свого робочого місця та порядку загалом. У дітей формується вміння нести відповідальність за власний вибір і потреба у завершенні дії.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Різновікові групи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Забезпечити наявність у групах дітей різних вікових категорій у певному діапазоні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дітей розвиваються соціально-адаптивні навички, уміння співпрацювати. Молодші діти отримають змогу вчитися у старших. Старші набувають керівних якостей.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Активна участь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дітей у процесі навчання</w:t>
            </w:r>
            <w:r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Підготувати умови для роботи дітей з усім асортиментом Монтессорі-матеріалів, адже вони дають змогу дітям самостійно бачити помилки 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виправляти їх без допомоги дорослого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Стимулюється пошукова активність дітей, формуються їхні самооцінка та самоконтроль</w:t>
            </w:r>
          </w:p>
        </w:tc>
      </w:tr>
      <w:tr>
        <w:trPr>
          <w:trHeight w:val="2073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Наявність певних правил роботи у Монтессорі-середовищі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Привчати дітей дотримуватися правил: працюй на килимках прибери за собою пересувайся по класу тихо пам’ятай, що твоя свобода закінчується там, де починається свобода іншого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Діти привчаються до організації свого робочого місця 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порядку загалом.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дітей формуються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вміння нести відповідальність за власний вибір і потреба у завершенні дії</w:t>
            </w:r>
          </w:p>
        </w:tc>
      </w:tr>
      <w:tr>
        <w:trPr>
          <w:trHeight w:val="1471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Самостійність дій дітей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Дозволити дітям робити самостійно все, що вони можуть. Мінімально допомагати їм у тому, чому діти тільки-но вчаться</w:t>
            </w:r>
          </w:p>
        </w:tc>
        <w:tc>
          <w:tcPr>
            <w:tcW w:w="31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Відбувається інтенсивне оволодіння дітьми відповідними навичками та вміннями, розвиваються їхні впевненість, самостійність, задовольняється потреба у дорослішанні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 кожної дитини формується позитивний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Я-образ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розвивається вміння об’єктивно оцінювати та нести відповідальність за свої дії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9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Відсутність оцінок 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боку дорослих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Не давати постійних оцінок дітям та їхній діяльності. Мотивувати своє ставлення до дій дітей почуттями, що виникають у дорослого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зв’язку з цими діями, а не стандартами та штампами</w:t>
            </w:r>
          </w:p>
        </w:tc>
        <w:tc>
          <w:tcPr>
            <w:tcW w:w="31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9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Відсутність мотиву змагання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Не порівнювати кожну окрему дитину 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іншими дітьми, а лише відносно її самої: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Я-вчора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—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Я-сьогодні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 дітей закріплюється відчуття самодостатності, переконаність 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правомірності власного розвитку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 музичного виховання Марії Монтессорі має такі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складові: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уроки тиші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розвиток відчуття ритму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розвиток слуху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допомогою дидактичних сенсорних Монтессорі-матеріалів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створення музики і гра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музичних інструментах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вокальний розвиток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вивчення нотної грамоти.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Уроки тиші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Марії Монтессорі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 стверджувала, що сприйняття кожною окремою дитиною світу звуків відбувається завдяки порівнянню шумів, 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створюються будь-яким рухом, із тишею спокою. На думку Марії Монтессорі, так потрібно виховувати і сприйняття музики. Вправи, 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тренують здібність до таких порівнянь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сприяють формуванню 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дітей слухової уваги та інтуїції.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Вправа у тиші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Групову вправу у тиші можна розпочати з того, що діти повільно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прикривають очі долонями.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 ізоляції зору в дітей напружуються інші почуття, насамперед слух.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Музичний керівник пропонує дітям рухатися дуже обережно і тихо, щоб шумів і звуків було якомога менше. Потім він пошепки звертається до однієї з дітей із проханням нечутно встати і сісти на стільчик.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Ця дитина виконує завдання,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інші уважно чекають, коли їх викличуть,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намагаються не ворушитися. Глибока тиша в кімнаті може порушуватися лише диханням дітей та їхніми мимовільними рухами.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Упродовж цієї вправи більшість дітей із подивом виявляють,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що звук і рух пов’язані між собою,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 будь-який, навіть найобережніший рух, викликає звук 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шум.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FFFFFF" w:val="clear"/>
        </w:rPr>
        <w:t xml:space="preserve">Розвиток відчуття ритму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Перебування дітей у ритмічному стані означає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концентрацію їхньої уваги на власних рухах,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при якій зовнішні дії узгоджуються з внутрішніми імпульсами.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думку Марії Монтессорі, діти 2–5 років переживають сенситивний період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прагнення до впорядкованості, постійного ритму життя,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оскільки це: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заспокоює дітей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нормалізує їхній психічний стан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підтримує пізнавальні здібності.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Тому педагог на заняттях має створити для дітей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ритмізоване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середовище з визначеним розпорядком, гармонійним звуковим фоном тощо.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Загальна ритмізація життя кожної дитини і її оточення активізує розвиток у неї відчуття ритму в широкому сенсі — гармонійності у відчутті власного тіла, злагодженості й свідомості у рухах. Спеціальні вправи сприяють розвитку координації рухів і відчуття рівноваги, що, у свою чергу, безпосередньо впливає на формування у дітей відчуття музичного ритму.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Вправа на розвиток відчуття ритму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Діти рухаються по намальованій на підлозі лінії у формі еліпса, немов по канату, концентруючись на тому, щоб ставити ступні чітко на лінію. Вправа супроводжується грою на фортепіано.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 час гри педагог змінює розмір, темп та динаміку музичного супроводу до вправи, тим самим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спонукаючи дітей до зміни типу ходи (легко, важко, навшпиньки, з підскоками) та її швидкості.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Розвиток слуху за допомогою дидактичних сенсорних Монтессорі-матеріалів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 дидактичних сенсорних Монтессорі-матеріалів, які розвивають у дітей слух, насамперед належать шумові циліндри і дзвіночки.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Шумові циліндри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Шумові циліндри — це дві дерев’яні коробки, одна з яких має червону кришку, інша — синю.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Кожна коробка містить шість циліндрів із кришками відповідного кольору (синього або червоного), що по-різному шумлять при струшуванні (діапазон шуму — від дуже тихого до доволі гучного). У кожного циліндра є пара в іншій коробці — циліндр із кришкою іншого кольору, що має аналогічний шумовий тон. На денцях циліндрів нанесені мітки, і парні циліндри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аналогічним шумовим тоном помічені однаково.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Музичний керівник може заохотити дітей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до індивідуальної роботи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 циліндрами, продемонструвавши спосіб такої роботи власним прикладом. Дитина виймає циліндр із коробки із синьою кришкою, струшує його, порівнює звучання. Для того, щоб відшукати пару з аналогічним шумовим тоном до того циліндра, що й у педагога, вона діставатиме циліндри один за одним доти, доки не знайде потрібний.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 шумовими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циліндрами можна проводити і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групові ігри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наприклад гру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Знайди собі пару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Діти стоять у колі. Педагог роздає кожній дитині по шумовому циліндру, заздалегідь перевіривши, щоб у кожного з них була пара. Діти по черзі підносять до вуха свій шумовий циліндр, струшують його і уважно слухають тон. Потім ходять по колу і вслухаються, як шумлять циліндри в інших, порівнюючи звучання їхніх шумових циліндрів із власним. У такий спосіб кожна дитина відшукує свою пару. Гра закінчується, коли усі пари циліндрів знайдені.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Дзвіночки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Окрім шумових циліндрів, традиційні Монтессорі-матеріали мають ще й два набори дзвіночків. Кожен з наборів містить такі предмети: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дзвіночків (хроматичний звукоряд у діапазоні від ноти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першої октави до ноти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другої октави);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дошка з підставками для дзвіночків (чорними та білими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першому наборі, коричневими — у другому);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дерев’яна паличка;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глушник на довгій ручці.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Дзвіночки першого набору мають чорні та білі підставки, які виглядають як клавіші фортепіано. Дзвіночки другого набору за звучанням аналогічні дзвіночкам першого набору, але всі їхні підставки коричневі.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початковому етапі ознайомлення дітей із дзвіночками корисними будуть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вправи з двома наборами одночасно.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Мета таких вправ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— знайти пару дзвіночків, що мають один і той самий тон (по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аналогії з шумовими циліндрами).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Дзвіночки з першого набору мають бути розставлені відповідно до хроматичного звукоряду (від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першої октави до ноти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другої октави), а з другого набору — довільно. Обрана дитина вдаряє паличкою перший дзвіночок з першого набору, а потім у другому наборі намагається відшукати той самий звук.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Більш складними є вправи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з одним набором.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Дзвіночки одного з наборів перемішані. Діти по черзі вдаряють кожен із дзвіночків, вслухаються в їхнє звучання і намагаються побудувати звукоряд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Вправи із дзвіночками не лише сприяють розвитку звуковисотного слуху, а й активізують координацію слуху з голосом,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адже видобуваючи звук із дзвіночка і дослухаючись до нього, діти мимоволі намагаються повторити його голосом. Окрім того, вправи із дзвіночками дають дітям змогу імпровізувати, створювати власні мелодії,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також є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чудовою підготовкою до вивчення нотної грамоти.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Створення музики і гра на музичних інструментах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думку Марії Монтессорі, в житті кожної дитини мають бути присутні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три види слухового сприйняття: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 вона слухає звучання інструмента, але зайнята іншим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частково активне, коли дитина, слухаючи музику, віддається власним думкам і переживає момент натхнення 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активне, коли вона грає на інструменті або звертається із проханням до дорослих відтворити певну музику.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Тому важливими для розвитку слухового сприйняття Марія Монтессорі вважала гру на музичних інструментах (дзвіночках, металофонах, ксилофонах, різноманітній перкусії) та музичну імпровізацію.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Вправа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Створи власну музику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Діти сидять у колі. У центрі — металофон або будь-який інший ударний інструмент, накритий хустинкою. Музичний керівник сідає у центр кола, піднімає хустинку, і всі бачать чудовий інструмент. Педагог бере в руки палички і грає просту мелодію. Потім він передає палички комусь із дітей і пропонує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створити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власну музику.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Вправа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Диригент-композитор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Обрана дитина диригує у тиші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власну музику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передаючи у рухах напрямок мелодії — вгору, вниз, плавно, зі стрибком тощо. Відповідно до рухів дитини педагог відтворює цю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інструменті.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Вокальний розвиток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Вокальний розвиток дітей відбувається в процесі співу дитячих пісень та гам. Так, зокрема, до співу гам дітей спонукають вправи 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дзвіночками. Адже спочатку діти співають гаму під власний акомпанемент дзвіночків. Проте поступово кількість варіантів співу гам збільшується. Наприклад, це може бути спів гам із динамічними відтінками (піано, форте), у різних темпах, у різному ансамблевому складі — дуетом, терцетом, а також хором.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Вивчення нотної грамоти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вивчення нотної грамоти в асортимент Монтессорі-матеріалів входять: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дошка з нотним станом із заглибленнями для накладення нотних знаків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ящик з нотними знаками (кружальця-ноти, скрипковий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басовий ключі, знаки бемоль та діез) 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дошка з нотним станом, але без заглиблень.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Уявлення про нотний стан діти отримують за допомогою дерев’яної дошки, що пофарбована у світло-зелений колір. Дошка розлінована, на кожній лінії і на кожному проміжку між лініями 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невеликі круглі заглиблення, в які можна вкласти нотні кружальця (діапазон відповідає звукоряду у наборі дзвіночків). Усередині кожного заглиблення написана цифра від 1 до 7. На нотних кружальцях 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внутрішнього боку написані ті самі цифри, що й на відповідних заглибленнях у дошці, а із зовнішнього боку — назви нот (1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2 —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тощо). Завдяки цьому діти при розташуванні нот на нотному стані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можуть зробити усе без помилок і одразу перевірити 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 діти засвоять розташування нот, для вправ можна використати аналогічну дошку, але без заглиблень і цифр, а також нотні кружальця, де з одного боку написано лише назву ноти (без цифри).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За матеріалом Катерини Завалко,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доктора педагогічних наук,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журнал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Музичний керівник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» № 2, 2019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5">
    <w:abstractNumId w:val="30"/>
  </w:num>
  <w:num w:numId="37">
    <w:abstractNumId w:val="24"/>
  </w:num>
  <w:num w:numId="39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